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pStyle w:val="Style_3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04380" cy="12865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4000000">
      <w:pPr>
        <w:rPr>
          <w:sz w:val="28"/>
        </w:rPr>
      </w:pPr>
    </w:p>
    <w:p w14:paraId="05000000">
      <w:pPr>
        <w:rPr>
          <w:sz w:val="28"/>
        </w:rPr>
      </w:pPr>
    </w:p>
    <w:p w14:paraId="06000000">
      <w:pPr>
        <w:rPr>
          <w:sz w:val="28"/>
        </w:rPr>
      </w:pPr>
    </w:p>
    <w:p w14:paraId="07000000">
      <w:pPr>
        <w:rPr>
          <w:sz w:val="28"/>
        </w:rPr>
      </w:pPr>
    </w:p>
    <w:p w14:paraId="08000000">
      <w:pPr>
        <w:rPr>
          <w:sz w:val="28"/>
        </w:rPr>
      </w:pPr>
    </w:p>
    <w:p w14:paraId="09000000">
      <w:pPr>
        <w:ind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ОПИСАНИЕ КОМПЕТЕНЦИИ</w:t>
      </w:r>
    </w:p>
    <w:p w14:paraId="0A000000">
      <w:pPr>
        <w:ind/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sz w:val="72"/>
        </w:rPr>
        <w:t>«</w:t>
      </w:r>
      <w:r>
        <w:rPr>
          <w:rFonts w:ascii="Times New Roman" w:hAnsi="Times New Roman"/>
          <w:sz w:val="72"/>
        </w:rPr>
        <w:t>РОСГВАРДЕЕЦ</w:t>
      </w:r>
      <w:r>
        <w:rPr>
          <w:rFonts w:ascii="Times New Roman" w:hAnsi="Times New Roman"/>
          <w:sz w:val="72"/>
        </w:rPr>
        <w:t>»</w:t>
      </w:r>
    </w:p>
    <w:p w14:paraId="0B000000">
      <w:pPr>
        <w:ind/>
        <w:jc w:val="center"/>
        <w:rPr>
          <w:rFonts w:ascii="Times New Roman" w:hAnsi="Times New Roman"/>
          <w:sz w:val="72"/>
        </w:rPr>
      </w:pPr>
    </w:p>
    <w:p w14:paraId="0C000000">
      <w:pPr>
        <w:ind/>
        <w:jc w:val="center"/>
        <w:rPr>
          <w:rFonts w:ascii="Times New Roman" w:hAnsi="Times New Roman"/>
          <w:sz w:val="72"/>
        </w:rPr>
      </w:pPr>
    </w:p>
    <w:p w14:paraId="0D000000">
      <w:pPr>
        <w:ind/>
        <w:jc w:val="center"/>
        <w:rPr>
          <w:rFonts w:ascii="Times New Roman" w:hAnsi="Times New Roman"/>
          <w:sz w:val="72"/>
        </w:rPr>
      </w:pPr>
    </w:p>
    <w:p w14:paraId="0E000000">
      <w:pPr>
        <w:ind/>
        <w:jc w:val="center"/>
        <w:rPr>
          <w:rFonts w:ascii="Times New Roman" w:hAnsi="Times New Roman"/>
          <w:sz w:val="72"/>
        </w:rPr>
      </w:pPr>
    </w:p>
    <w:p w14:paraId="0F000000">
      <w:pPr>
        <w:ind/>
        <w:jc w:val="center"/>
        <w:rPr>
          <w:rFonts w:ascii="Times New Roman" w:hAnsi="Times New Roman"/>
          <w:sz w:val="72"/>
        </w:rPr>
      </w:pPr>
    </w:p>
    <w:p w14:paraId="10000000">
      <w:pPr>
        <w:ind/>
        <w:jc w:val="center"/>
        <w:rPr>
          <w:rFonts w:ascii="Times New Roman" w:hAnsi="Times New Roman"/>
          <w:sz w:val="72"/>
        </w:rPr>
      </w:pPr>
    </w:p>
    <w:p w14:paraId="11000000">
      <w:pPr>
        <w:ind/>
        <w:jc w:val="center"/>
        <w:rPr>
          <w:rFonts w:ascii="Times New Roman" w:hAnsi="Times New Roman"/>
          <w:color w:val="000000"/>
          <w:sz w:val="28"/>
        </w:rPr>
      </w:pPr>
    </w:p>
    <w:p w14:paraId="12000000">
      <w:pPr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г.</w:t>
      </w:r>
    </w:p>
    <w:p w14:paraId="13000000">
      <w:pPr>
        <w:pStyle w:val="Style_4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Наименование компетенции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Росгвардеец</w:t>
      </w:r>
    </w:p>
    <w:p w14:paraId="14000000">
      <w:pPr>
        <w:pStyle w:val="Style_4"/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Формат участия в соревновании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индивидуальный</w:t>
      </w:r>
    </w:p>
    <w:p w14:paraId="15000000">
      <w:pPr>
        <w:pStyle w:val="Style_4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Описание компетенции</w:t>
      </w:r>
    </w:p>
    <w:p w14:paraId="16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Деятельность ФСВНГ – это деятельность, направленная на охрану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 и защиту прав граждан, юридических лиц и государства.</w:t>
      </w:r>
    </w:p>
    <w:p w14:paraId="17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войска национальной гвардии возлагается выполнение следующих задач:</w:t>
      </w:r>
    </w:p>
    <w:p w14:paraId="18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1" w:name="100013"/>
      <w:bookmarkEnd w:id="1"/>
      <w:r>
        <w:rPr>
          <w:rFonts w:ascii="Times New Roman" w:hAnsi="Times New Roman"/>
          <w:sz w:val="28"/>
        </w:rPr>
        <w:t>1) участие в охране общественного порядка, обеспечении общественной безопасности;</w:t>
      </w:r>
    </w:p>
    <w:p w14:paraId="19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2" w:name="100014"/>
      <w:bookmarkEnd w:id="2"/>
      <w:r>
        <w:rPr>
          <w:rFonts w:ascii="Times New Roman" w:hAnsi="Times New Roman"/>
          <w:sz w:val="28"/>
        </w:rPr>
        <w:t>2) охрана важных государственных объектов, специальных грузов, сооружений на коммуникациях в соответствии с перечнями, утвержденными Правительством Российской Федерации;</w:t>
      </w:r>
    </w:p>
    <w:p w14:paraId="1A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100015"/>
      <w:bookmarkEnd w:id="3"/>
      <w:r>
        <w:rPr>
          <w:rFonts w:ascii="Times New Roman" w:hAnsi="Times New Roman"/>
          <w:sz w:val="28"/>
        </w:rPr>
        <w:t>3) участие в борьбе с терроризмом и экстремизмом;</w:t>
      </w:r>
    </w:p>
    <w:p w14:paraId="1B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4" w:name="100016"/>
      <w:bookmarkEnd w:id="4"/>
      <w:r>
        <w:rPr>
          <w:rFonts w:ascii="Times New Roman" w:hAnsi="Times New Roman"/>
          <w:sz w:val="28"/>
        </w:rPr>
        <w:t>4) участие в обеспечении режимов чрезвычайного положения, военного положения, правового режима контртеррористической операции;</w:t>
      </w:r>
    </w:p>
    <w:p w14:paraId="1C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5" w:name="100017"/>
      <w:bookmarkEnd w:id="5"/>
      <w:r>
        <w:rPr>
          <w:rFonts w:ascii="Times New Roman" w:hAnsi="Times New Roman"/>
          <w:sz w:val="28"/>
        </w:rPr>
        <w:t>5) участие в территориальной обороне Российской Федерации;</w:t>
      </w:r>
    </w:p>
    <w:p w14:paraId="1D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6" w:name="100018"/>
      <w:bookmarkEnd w:id="6"/>
      <w:bookmarkStart w:id="7" w:name="000001"/>
      <w:bookmarkEnd w:id="7"/>
      <w:bookmarkStart w:id="8" w:name="100019"/>
      <w:bookmarkEnd w:id="8"/>
      <w:r>
        <w:rPr>
          <w:rFonts w:ascii="Times New Roman" w:hAnsi="Times New Roman"/>
          <w:sz w:val="28"/>
        </w:rPr>
        <w:t>6) 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обеспечением безопасности объектов топливно-энергетического комплекса, за деятельностью подразделений охраны юридических лиц с особыми уставными задачами и подразделений ведомственной охраны;</w:t>
      </w:r>
    </w:p>
    <w:p w14:paraId="1E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9" w:name="100020"/>
      <w:bookmarkEnd w:id="9"/>
      <w:r>
        <w:rPr>
          <w:rFonts w:ascii="Times New Roman" w:hAnsi="Times New Roman"/>
          <w:sz w:val="28"/>
        </w:rPr>
        <w:t xml:space="preserve">7) охрана особо важных и режимных объектов, объектов, подлежащих обязательной охране войсками национальной гвардии, в соответствии 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>с перечнем, утвержденным Правительством Российской Федерации, охрана имущества физических и юридических лиц по договорам;</w:t>
      </w:r>
    </w:p>
    <w:p w14:paraId="1F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bookmarkStart w:id="10" w:name="000010"/>
      <w:bookmarkEnd w:id="10"/>
      <w:r>
        <w:rPr>
          <w:rFonts w:ascii="Times New Roman" w:hAnsi="Times New Roman"/>
          <w:sz w:val="28"/>
        </w:rPr>
        <w:t>8) обеспечение по решению Президента Российской Федерации безопасности высших должностных лиц субъектов Российской Федерации (руководителей высших исполнительных органов государственной власти субъектов Российской Федерации) и иных лиц.</w:t>
      </w:r>
    </w:p>
    <w:p w14:paraId="20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Область профессиональной деятельности специалистов включает в себя реализацию правовых норм; обеспечение</w:t>
      </w:r>
      <w:r>
        <w:rPr>
          <w:rFonts w:ascii="Times New Roman" w:hAnsi="Times New Roman"/>
          <w:sz w:val="28"/>
        </w:rPr>
        <w:t xml:space="preserve"> законности и правопорядка, безопасности личности, общества и государства, охрану общественного порядка, предупреждение, пресечение правонарушений.</w:t>
      </w:r>
    </w:p>
    <w:p w14:paraId="21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Объектами профессиональной деятельности специалистов являются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не только события и действия, имеющие юридическое </w:t>
      </w:r>
      <w:r>
        <w:rPr>
          <w:rFonts w:ascii="Times New Roman" w:hAnsi="Times New Roman"/>
          <w:sz w:val="28"/>
        </w:rPr>
        <w:t xml:space="preserve">значение,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но и общественные отношения в сфере деятельности ФСВНГ.  </w:t>
      </w:r>
    </w:p>
    <w:p w14:paraId="22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Деятельность </w:t>
      </w:r>
      <w:r>
        <w:rPr>
          <w:rFonts w:ascii="Times New Roman" w:hAnsi="Times New Roman"/>
          <w:sz w:val="28"/>
        </w:rPr>
        <w:t>росгвардейца</w:t>
      </w:r>
      <w:r>
        <w:rPr>
          <w:rFonts w:ascii="Times New Roman" w:hAnsi="Times New Roman"/>
          <w:sz w:val="28"/>
        </w:rPr>
        <w:t xml:space="preserve"> требует не только отличной физической подготовки, выносливости, но и умения разбираться в законодательстве. Для эффективного и качественного выполнения обязанностей специалист должен не только знать,</w:t>
      </w:r>
      <w:r>
        <w:rPr>
          <w:rFonts w:ascii="Times New Roman" w:hAnsi="Times New Roman"/>
          <w:color w:val="1A1A1A"/>
          <w:sz w:val="28"/>
        </w:rPr>
        <w:t xml:space="preserve"> но и грамотно применять нормативные документы, регламентирующие служебную деятельность в различных условиях.</w:t>
      </w:r>
    </w:p>
    <w:p w14:paraId="23000000">
      <w:pPr>
        <w:pStyle w:val="Style_4"/>
        <w:spacing w:line="360" w:lineRule="auto"/>
        <w:ind w:firstLine="851" w:left="0"/>
        <w:jc w:val="both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>Обеспечение в государстве законности, антитеррористической устойчивости, правопорядка с целью защиты прав, свобод и законных интересов человека и гражданина, общества и государства всегда были и остаются приоритетными задачами.</w:t>
      </w:r>
    </w:p>
    <w:p w14:paraId="24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4"/>
        <w:spacing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Нормативные правовые акты</w:t>
      </w:r>
    </w:p>
    <w:p w14:paraId="26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7000000">
      <w:pPr>
        <w:pStyle w:val="Style_4"/>
        <w:numPr>
          <w:ilvl w:val="0"/>
          <w:numId w:val="1"/>
        </w:numPr>
        <w:spacing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ФГОС СПО</w:t>
      </w:r>
    </w:p>
    <w:p w14:paraId="28000000">
      <w:pPr>
        <w:pStyle w:val="Style_4"/>
        <w:numPr>
          <w:ilvl w:val="0"/>
          <w:numId w:val="2"/>
        </w:numPr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40.02.02 Правоохранительная деятельност</w:t>
      </w:r>
      <w:r>
        <w:rPr>
          <w:rFonts w:ascii="Times New Roman" w:hAnsi="Times New Roman"/>
          <w:sz w:val="28"/>
        </w:rPr>
        <w:t xml:space="preserve">ь, </w:t>
      </w:r>
      <w:r>
        <w:rPr>
          <w:rFonts w:ascii="Times New Roman" w:hAnsi="Times New Roman"/>
          <w:sz w:val="28"/>
        </w:rPr>
        <w:t>утв</w:t>
      </w:r>
      <w:r>
        <w:rPr>
          <w:rFonts w:ascii="Times New Roman" w:hAnsi="Times New Roman"/>
          <w:sz w:val="28"/>
        </w:rPr>
        <w:t>ержден</w:t>
      </w:r>
      <w:r>
        <w:rPr>
          <w:rFonts w:ascii="Times New Roman" w:hAnsi="Times New Roman"/>
          <w:sz w:val="28"/>
        </w:rPr>
        <w:t xml:space="preserve"> Приказом Министерства образования и науки РФ от 12 мая 2014 г. № 509</w:t>
      </w:r>
      <w:r>
        <w:rPr>
          <w:rFonts w:ascii="Times New Roman" w:hAnsi="Times New Roman"/>
          <w:sz w:val="28"/>
        </w:rPr>
        <w:t>.</w:t>
      </w:r>
    </w:p>
    <w:p w14:paraId="29000000">
      <w:pPr>
        <w:pStyle w:val="Style_4"/>
        <w:numPr>
          <w:ilvl w:val="0"/>
          <w:numId w:val="3"/>
        </w:numPr>
        <w:spacing w:line="360" w:lineRule="auto"/>
        <w:ind w:firstLine="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Профессиональный стандарт</w:t>
      </w:r>
    </w:p>
    <w:p w14:paraId="2A000000">
      <w:pPr>
        <w:pStyle w:val="Style_5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09.004 Специалист в сфере предупреждения коррупционных правонарушений, </w:t>
      </w:r>
      <w:bookmarkStart w:id="11" w:name="_Hlk187833836"/>
      <w:r>
        <w:rPr>
          <w:rFonts w:ascii="Times New Roman" w:hAnsi="Times New Roman"/>
          <w:sz w:val="28"/>
        </w:rPr>
        <w:t>утвержден приказом Министерства труда и социальной защиты Российской Федерации</w:t>
      </w:r>
      <w:bookmarkEnd w:id="11"/>
      <w:r>
        <w:rPr>
          <w:rFonts w:ascii="Times New Roman" w:hAnsi="Times New Roman"/>
          <w:sz w:val="28"/>
        </w:rPr>
        <w:t xml:space="preserve"> от 08.08.2022 № 472н</w:t>
      </w:r>
      <w:r>
        <w:rPr>
          <w:rFonts w:ascii="Times New Roman" w:hAnsi="Times New Roman"/>
          <w:sz w:val="28"/>
        </w:rPr>
        <w:t>.</w:t>
      </w:r>
    </w:p>
    <w:p w14:paraId="2B000000">
      <w:pPr>
        <w:pStyle w:val="Style_5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12.017 Специалист по обеспечению антитеррористической защищенности объекта (территории)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 приказом Министерства труда и социальной защиты Российской Федерации от 27.04.2023 № 374н</w:t>
      </w:r>
      <w:r>
        <w:rPr>
          <w:rFonts w:ascii="Times New Roman" w:hAnsi="Times New Roman"/>
          <w:sz w:val="28"/>
        </w:rPr>
        <w:t>.</w:t>
      </w:r>
    </w:p>
    <w:p w14:paraId="2C000000">
      <w:pPr>
        <w:pStyle w:val="Style_5"/>
        <w:numPr>
          <w:ilvl w:val="0"/>
          <w:numId w:val="4"/>
        </w:numPr>
        <w:spacing w:after="0" w:line="360" w:lineRule="auto"/>
        <w:ind w:firstLine="709" w:left="0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12.018 Специалист ведомственной охраны объектов нефтегазовой отрасли, утвержден приказом Министерства труда и социальной защиты Российской Федерации от</w:t>
      </w:r>
      <w:r>
        <w:rPr>
          <w:rFonts w:ascii="Times New Roman" w:hAnsi="Times New Roman"/>
          <w:sz w:val="28"/>
        </w:rPr>
        <w:t xml:space="preserve"> 14.03.2023 № 143н.</w:t>
      </w:r>
    </w:p>
    <w:p w14:paraId="2D000000">
      <w:pPr>
        <w:pStyle w:val="Style_5"/>
        <w:numPr>
          <w:ilvl w:val="0"/>
          <w:numId w:val="4"/>
        </w:numPr>
        <w:spacing w:after="0" w:line="360" w:lineRule="auto"/>
        <w:ind w:firstLine="709" w:left="0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08.021 Специалист по финансовому мониторингу (в сфере противодействия легализации доходов, полученных преступным </w:t>
      </w:r>
      <w:r>
        <w:rPr>
          <w:rFonts w:ascii="Times New Roman" w:hAnsi="Times New Roman"/>
          <w:sz w:val="28"/>
        </w:rPr>
        <w:t xml:space="preserve">путем,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 xml:space="preserve">и финансированию терроризма), утвержден приказом Министерства труда </w:t>
      </w:r>
      <w:r>
        <w:rPr>
          <w:rFonts w:ascii="Times New Roman" w:hAnsi="Times New Roman"/>
          <w:sz w:val="28"/>
        </w:rPr>
        <w:t xml:space="preserve">                         </w:t>
      </w:r>
      <w:r>
        <w:rPr>
          <w:rFonts w:ascii="Times New Roman" w:hAnsi="Times New Roman"/>
          <w:sz w:val="28"/>
        </w:rPr>
        <w:t xml:space="preserve">и социальной защиты Российской Федерации </w:t>
      </w:r>
      <w:r>
        <w:rPr>
          <w:rFonts w:ascii="Times New Roman" w:hAnsi="Times New Roman"/>
          <w:sz w:val="28"/>
        </w:rPr>
        <w:t>от 24 июля 2015 г. N 512н)</w:t>
      </w:r>
      <w:r>
        <w:rPr>
          <w:rFonts w:ascii="Times New Roman" w:hAnsi="Times New Roman"/>
          <w:sz w:val="28"/>
        </w:rPr>
        <w:t>.</w:t>
      </w:r>
    </w:p>
    <w:p w14:paraId="2E000000">
      <w:pPr>
        <w:pStyle w:val="Style_5"/>
        <w:numPr>
          <w:ilvl w:val="0"/>
          <w:numId w:val="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утвержден Приказом Министерства труда и социальной защиты Российской Федерации 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от 14 сентября 2022 г. №526н.</w:t>
      </w:r>
    </w:p>
    <w:p w14:paraId="2F000000">
      <w:pPr>
        <w:pStyle w:val="Style_5"/>
        <w:numPr>
          <w:ilvl w:val="0"/>
          <w:numId w:val="5"/>
        </w:numPr>
        <w:spacing w:after="0" w:line="360" w:lineRule="auto"/>
        <w:ind w:firstLine="0" w:left="0"/>
        <w:jc w:val="both"/>
        <w:outlineLvl w:val="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ЕКТС</w:t>
      </w:r>
    </w:p>
    <w:p w14:paraId="30000000">
      <w:pPr>
        <w:pStyle w:val="Style_5"/>
        <w:numPr>
          <w:ilvl w:val="0"/>
          <w:numId w:val="6"/>
        </w:numPr>
        <w:spacing w:after="0" w:line="360" w:lineRule="auto"/>
        <w:ind w:firstLine="709" w:left="0"/>
        <w:jc w:val="both"/>
        <w:outlineLvl w:val="0"/>
        <w:rPr>
          <w:rFonts w:ascii="Times New Roman" w:hAnsi="Times New Roman"/>
          <w:b w:val="1"/>
          <w:caps w:val="1"/>
          <w:color w:val="414141"/>
          <w:sz w:val="28"/>
        </w:rPr>
      </w:pPr>
      <w:r>
        <w:rPr>
          <w:rFonts w:ascii="Times New Roman" w:hAnsi="Times New Roman"/>
          <w:color w:val="414141"/>
          <w:sz w:val="28"/>
        </w:rPr>
        <w:t>Приказ федеральной службы войск национальной гвардии Российской Федерации от 11.10.2017 № 431</w:t>
      </w:r>
      <w:r>
        <w:rPr>
          <w:rFonts w:ascii="Times New Roman" w:hAnsi="Times New Roman"/>
          <w:caps w:val="1"/>
          <w:color w:val="414141"/>
          <w:sz w:val="28"/>
        </w:rPr>
        <w:t xml:space="preserve"> </w:t>
      </w:r>
      <w:r>
        <w:rPr>
          <w:rFonts w:ascii="Times New Roman" w:hAnsi="Times New Roman"/>
          <w:sz w:val="28"/>
        </w:rPr>
        <w:t>«Об утверждении квалификационных требований к стажу службы в войсках национальной гвардии Российской Федерации или стажу (опыту) работы по специальности, профессиональным знаниям и навыкам для лиц, проходящих службу в войсках национальной гвардии Российской Федерации и имеющих специальные звания полиции, замещающих должности рядового состава. младшего. среднего и старшего начальствующего состава войск национальной гвардии Российской Федерации. и квалификационных требований к уровню физической подготовки для должностей рядового состава. младшего. среднего и старшего начальствующего состава, замещаемых лицами, проходящими службу в войсках национальной гвардии Российской Федерации и имеющими специальные звания полиции».</w:t>
      </w:r>
    </w:p>
    <w:p w14:paraId="31000000">
      <w:pPr>
        <w:pStyle w:val="Style_5"/>
        <w:spacing w:after="0" w:line="360" w:lineRule="auto"/>
        <w:ind w:firstLine="0" w:left="709"/>
        <w:jc w:val="both"/>
        <w:outlineLvl w:val="0"/>
        <w:rPr>
          <w:rFonts w:ascii="Times New Roman" w:hAnsi="Times New Roman"/>
          <w:b w:val="1"/>
          <w:caps w:val="1"/>
          <w:color w:val="414141"/>
          <w:sz w:val="28"/>
        </w:rPr>
      </w:pPr>
    </w:p>
    <w:p w14:paraId="32000000">
      <w:pPr>
        <w:pStyle w:val="Style_4"/>
        <w:numPr>
          <w:ilvl w:val="0"/>
          <w:numId w:val="7"/>
        </w:numPr>
        <w:spacing w:line="360" w:lineRule="auto"/>
        <w:ind w:firstLine="0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Законодательные акты</w:t>
      </w:r>
    </w:p>
    <w:p w14:paraId="33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Конституция Российской Федерации</w:t>
      </w:r>
      <w:r>
        <w:rPr>
          <w:rFonts w:ascii="Times New Roman" w:hAnsi="Times New Roman"/>
          <w:sz w:val="28"/>
        </w:rPr>
        <w:t>.</w:t>
      </w:r>
    </w:p>
    <w:p w14:paraId="34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закон от 03.07.2016 № 226-ФЗ «О войсках национальной гвардии Российской Федерации».</w:t>
      </w:r>
    </w:p>
    <w:p w14:paraId="35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закон от 03.07.2016 № 227-ФЗ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Федерации».</w:t>
      </w:r>
    </w:p>
    <w:p w14:paraId="36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Федеральный закон от 13.12.1996 N 150-ФЗ (ред. от 25.12.2023) «Об оружии».</w:t>
      </w:r>
    </w:p>
    <w:p w14:paraId="37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Указ Президента Российской Федерации от 30.09.2016 № 510 «О Федеральной службе войск национальной гвардии Российской Федерации».</w:t>
      </w:r>
    </w:p>
    <w:p w14:paraId="38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14 августа 1992 г. № 587 «Вопросы частной детективной (сыскной) и частной охранной </w:t>
      </w:r>
      <w:r>
        <w:rPr>
          <w:rFonts w:ascii="Times New Roman" w:hAnsi="Times New Roman"/>
          <w:sz w:val="28"/>
        </w:rPr>
        <w:t xml:space="preserve">                                         </w:t>
      </w:r>
      <w:r>
        <w:rPr>
          <w:rFonts w:ascii="Times New Roman" w:hAnsi="Times New Roman"/>
          <w:sz w:val="28"/>
        </w:rPr>
        <w:t>деятельности»</w:t>
      </w:r>
      <w:r>
        <w:rPr>
          <w:rFonts w:ascii="Times New Roman" w:hAnsi="Times New Roman"/>
          <w:sz w:val="28"/>
        </w:rPr>
        <w:t>.</w:t>
      </w:r>
    </w:p>
    <w:p w14:paraId="39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31 декабря 2009 г. № 1148 «О порядке хранения наркотических средств, психотропных веществ и их прекурсоров»</w:t>
      </w:r>
      <w:r>
        <w:rPr>
          <w:rFonts w:ascii="Times New Roman" w:hAnsi="Times New Roman"/>
          <w:sz w:val="28"/>
        </w:rPr>
        <w:t>.</w:t>
      </w:r>
    </w:p>
    <w:p w14:paraId="3A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1 февраля 2011 г. № 42 «Об утверждении правил охраны аэропортов и объектов их инфраструктуры»</w:t>
      </w:r>
      <w:r>
        <w:rPr>
          <w:rFonts w:ascii="Times New Roman" w:hAnsi="Times New Roman"/>
          <w:sz w:val="28"/>
        </w:rPr>
        <w:t>.</w:t>
      </w:r>
    </w:p>
    <w:p w14:paraId="3B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Постановление Правительства Российской Федерации от 5 мая 2012 г. № 459 «Об утверждении Положения об исходных данных для проведения категорирования объекта топливно-энергетического комплекса, порядке его </w:t>
      </w:r>
      <w:r>
        <w:rPr>
          <w:rFonts w:ascii="Times New Roman" w:hAnsi="Times New Roman"/>
          <w:sz w:val="28"/>
        </w:rPr>
        <w:t>проведения и критериях категорирования»</w:t>
      </w:r>
      <w:r>
        <w:rPr>
          <w:rFonts w:ascii="Times New Roman" w:hAnsi="Times New Roman"/>
          <w:sz w:val="28"/>
        </w:rPr>
        <w:t>.</w:t>
      </w:r>
    </w:p>
    <w:p w14:paraId="3C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5 мая 2012 г. № 460 «Об утверждении Правил актуализации паспорта безопасности объекта топливно-энергетического комплекса»</w:t>
      </w:r>
      <w:r>
        <w:rPr>
          <w:rFonts w:ascii="Times New Roman" w:hAnsi="Times New Roman"/>
          <w:sz w:val="28"/>
        </w:rPr>
        <w:t>.</w:t>
      </w:r>
    </w:p>
    <w:p w14:paraId="3D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25 декабря 2013 г. № 1244 «Об антитеррористической защищенности объектов (территорий)»</w:t>
      </w:r>
      <w:r>
        <w:rPr>
          <w:rFonts w:ascii="Times New Roman" w:hAnsi="Times New Roman"/>
          <w:sz w:val="28"/>
        </w:rPr>
        <w:t>.</w:t>
      </w:r>
    </w:p>
    <w:p w14:paraId="3E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25 марта 2015 г.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паспорта безопасности таких мест и объектов (территорий)»</w:t>
      </w:r>
      <w:r>
        <w:rPr>
          <w:rFonts w:ascii="Times New Roman" w:hAnsi="Times New Roman"/>
          <w:sz w:val="28"/>
        </w:rPr>
        <w:t>.</w:t>
      </w:r>
    </w:p>
    <w:p w14:paraId="3F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Постановление Правительства Российской Федерации от 6 декабря 2016 г. № 1303 «О порядке определения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имущества, и признании утратившими силу некоторых актов Правительства Российской Федерации»</w:t>
      </w:r>
      <w:r>
        <w:rPr>
          <w:rFonts w:ascii="Times New Roman" w:hAnsi="Times New Roman"/>
          <w:sz w:val="28"/>
        </w:rPr>
        <w:t>.</w:t>
      </w:r>
    </w:p>
    <w:p w14:paraId="40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Распоряжение Правительства Российской Федерации от 15.05.2017 </w:t>
      </w:r>
      <w:r>
        <w:rPr>
          <w:rFonts w:ascii="Times New Roman" w:hAnsi="Times New Roman"/>
          <w:sz w:val="28"/>
        </w:rPr>
        <w:t xml:space="preserve">г.                 </w:t>
      </w:r>
      <w:r>
        <w:rPr>
          <w:rFonts w:ascii="Times New Roman" w:hAnsi="Times New Roman"/>
          <w:sz w:val="28"/>
        </w:rPr>
        <w:t>№ 928-р «Перечень объектов, подлежащих обязательной охране войсками национальной гвардии Российской Федерации».</w:t>
      </w:r>
    </w:p>
    <w:p w14:paraId="41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Приказ ФСВНГ </w:t>
      </w:r>
      <w:r>
        <w:rPr>
          <w:rFonts w:ascii="Times New Roman" w:hAnsi="Times New Roman"/>
          <w:sz w:val="28"/>
        </w:rPr>
        <w:t>от 28 декабря 2018 г. № 669 «Об утверждении Правил охраны имущества физических и юридических лиц по договорам войсками национальной гвардии».</w:t>
      </w:r>
    </w:p>
    <w:p w14:paraId="42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Приказ ФСВНГ </w:t>
      </w:r>
      <w:r>
        <w:rPr>
          <w:rFonts w:ascii="Times New Roman" w:hAnsi="Times New Roman"/>
          <w:sz w:val="28"/>
        </w:rPr>
        <w:t>от 30 сентября 2016 г. №№ 201-284, утверждающие уставы ФГКУ УВО (ОВО) войск национальной гвардии по субъектам Российской Федерации;</w:t>
      </w:r>
    </w:p>
    <w:p w14:paraId="43000000">
      <w:pPr>
        <w:pStyle w:val="Style_4"/>
        <w:spacing w:line="360" w:lineRule="auto"/>
        <w:ind w:firstLine="709" w:left="0"/>
        <w:jc w:val="both"/>
        <w:rPr>
          <w:rFonts w:ascii="Arial" w:hAnsi="Arial"/>
          <w:b w:val="1"/>
          <w:i w:val="0"/>
          <w:caps w:val="0"/>
          <w:color w:val="333333"/>
          <w:spacing w:val="0"/>
          <w:sz w:val="27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Приказ ФСВНГ </w:t>
      </w:r>
      <w:r>
        <w:rPr>
          <w:rFonts w:ascii="Times New Roman" w:hAnsi="Times New Roman"/>
          <w:sz w:val="28"/>
        </w:rPr>
        <w:t>от 6 октября 2016 г. № 286 «О полномочиях должностных лиц войск на</w:t>
      </w:r>
      <w:r>
        <w:rPr>
          <w:rFonts w:ascii="Times New Roman" w:hAnsi="Times New Roman"/>
          <w:color w:val="000000"/>
          <w:sz w:val="28"/>
        </w:rPr>
        <w:t xml:space="preserve">циональной гвардии Российской Федерации по составлению протоколов об административных правонарушениях и </w:t>
      </w:r>
      <w:r>
        <w:rPr>
          <w:rFonts w:ascii="Times New Roman" w:hAnsi="Times New Roman"/>
          <w:color w:val="000000"/>
          <w:sz w:val="28"/>
        </w:rPr>
        <w:t xml:space="preserve">административному задержанию» в редакции </w:t>
      </w:r>
      <w:r>
        <w:rPr>
          <w:rFonts w:ascii="Times New Roman" w:hAnsi="Times New Roman"/>
          <w:color w:val="000000"/>
          <w:sz w:val="28"/>
        </w:rPr>
        <w:t>от 21.06.2018</w:t>
      </w:r>
      <w:r>
        <w:rPr>
          <w:rFonts w:ascii="Times New Roman" w:hAnsi="Times New Roman"/>
          <w:sz w:val="28"/>
        </w:rPr>
        <w:t>г..</w:t>
      </w:r>
    </w:p>
    <w:p w14:paraId="44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bookmarkStart w:id="12" w:name="_Hlk188006715"/>
      <w:r>
        <w:rPr>
          <w:rFonts w:ascii="Times New Roman" w:hAnsi="Times New Roman"/>
          <w:sz w:val="28"/>
        </w:rPr>
        <w:t xml:space="preserve">Приказ ФСВНГ </w:t>
      </w:r>
      <w:bookmarkEnd w:id="12"/>
      <w:r>
        <w:rPr>
          <w:rFonts w:ascii="Times New Roman" w:hAnsi="Times New Roman"/>
          <w:sz w:val="28"/>
        </w:rPr>
        <w:t>РФ от 06.06.2017 № 158 «Об утверждении Методики установления тарифов на оказываемые войсками национальной гвардии Российской Федерации услуги по охране имущества и объектов граждан и организаций, а также на иные услуги, связанные с обеспечением охраны имущества на договорной основе».</w:t>
      </w:r>
    </w:p>
    <w:p w14:paraId="45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28.09.2018 № 429 «О возложении функций по профилактике коррупционных и иных правонарушений в войсках национальной гвардии Российской Федерации».</w:t>
      </w:r>
    </w:p>
    <w:p w14:paraId="46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06.10.2016 № 286 «О полномочиях должностных лиц войск национальной гвардии Российской Федерации по составлению протоколов об административных правонарушениях и административному задержанию».</w:t>
      </w:r>
    </w:p>
    <w:p w14:paraId="47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Приказ ФСВНГ РФ от 28.12.2024г. № 505 «</w:t>
      </w:r>
      <w:r>
        <w:rPr>
          <w:rFonts w:ascii="Times New Roman" w:hAnsi="Times New Roman"/>
          <w:sz w:val="28"/>
        </w:rPr>
        <w:t>Об утверждении Наставления по организации службы строевых подразделений вневедомственной охраны войск национальной гвардии Российской Федерации</w:t>
      </w:r>
      <w:r>
        <w:rPr>
          <w:rFonts w:ascii="Times New Roman" w:hAnsi="Times New Roman"/>
          <w:sz w:val="28"/>
        </w:rPr>
        <w:t>»</w:t>
      </w:r>
    </w:p>
    <w:p w14:paraId="48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 ФСВНГ РФ от 09.06.2017 № 170 «Об утверждении Инструкции о порядке рассмотрения обращений граждан и организаций в войсках национальной гвардии Российской Федерации».</w:t>
      </w:r>
    </w:p>
    <w:p w14:paraId="49000000">
      <w:pPr>
        <w:pStyle w:val="Style_4"/>
        <w:spacing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 МВД России №659, МЧС России № 717, Министра обороны России № 473, Минфина России № 208н, Минюста России № 209, Минтранса России № 385, СВР России № 63, ФСБ России № 429, ФСО России № 185, </w:t>
      </w:r>
      <w:r>
        <w:rPr>
          <w:rFonts w:ascii="Times New Roman" w:hAnsi="Times New Roman"/>
          <w:sz w:val="28"/>
        </w:rPr>
        <w:t>Росгвардии</w:t>
      </w:r>
      <w:r>
        <w:rPr>
          <w:rFonts w:ascii="Times New Roman" w:hAnsi="Times New Roman"/>
          <w:sz w:val="28"/>
        </w:rPr>
        <w:t xml:space="preserve"> № 376, ГУСП № 145, Генпрокуратуры России № 502, СК России № 94 от 23.09.2020 (ред. от 19.10.2022) «Об утверждении Порядка </w:t>
      </w:r>
      <w:r>
        <w:rPr>
          <w:rFonts w:ascii="Times New Roman" w:hAnsi="Times New Roman"/>
          <w:sz w:val="28"/>
        </w:rPr>
        <w:t>формирования направляемой в органы внутренних дел дактилоскопической информации» (Зарегистрировано в Минюсте России 24.09.2020 № 60016).</w:t>
      </w:r>
    </w:p>
    <w:p w14:paraId="4A000000">
      <w:pPr>
        <w:pStyle w:val="Style_4"/>
        <w:keepNext w:val="1"/>
        <w:spacing w:line="360" w:lineRule="auto"/>
        <w:ind w:firstLine="709" w:left="0"/>
        <w:jc w:val="both"/>
        <w:outlineLvl w:val="1"/>
        <w:rPr>
          <w:rFonts w:ascii="Times New Roman" w:hAnsi="Times New Roman"/>
          <w:i w:val="1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Перечень профессиональных задач специалиста по компетенции «</w:t>
      </w:r>
      <w:r>
        <w:rPr>
          <w:rFonts w:ascii="Times New Roman" w:hAnsi="Times New Roman"/>
          <w:sz w:val="28"/>
          <w:highlight w:val="white"/>
        </w:rPr>
        <w:t>Росгвардеец</w:t>
      </w:r>
      <w:r>
        <w:rPr>
          <w:rFonts w:ascii="Times New Roman" w:hAnsi="Times New Roman"/>
          <w:sz w:val="28"/>
          <w:highlight w:val="white"/>
        </w:rPr>
        <w:t>»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ределяется профессиональной областью специалиста и базируется на требованиях государства</w:t>
      </w:r>
      <w:r>
        <w:rPr>
          <w:rFonts w:ascii="Times New Roman" w:hAnsi="Times New Roman"/>
          <w:i w:val="1"/>
          <w:sz w:val="28"/>
          <w:highlight w:val="white"/>
        </w:rPr>
        <w:t>.</w:t>
      </w:r>
    </w:p>
    <w:p w14:paraId="4B000000">
      <w:pPr>
        <w:pStyle w:val="Style_6"/>
        <w:rPr>
          <w:highlight w:val="white"/>
        </w:rPr>
      </w:pPr>
    </w:p>
    <w:tbl>
      <w:tblPr>
        <w:tblStyle w:val="Style_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994"/>
        <w:gridCol w:w="8360"/>
      </w:tblGrid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№</w:t>
            </w:r>
          </w:p>
          <w:p w14:paraId="4D00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п/п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Виды деятельности/трудовые функции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в охране общественного порядка, обеспечении общественной безопасности (патрулирование, обеспечение порядка при проведении массовых мероприятий)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Охрана объектов, специальных грузов, сооружений на коммуникациях в соответствии с перечнями, утвержденными Правительством Российской Федерации (обеспечение контрольно-пропускного режима, досмотр, сопровождение грузов, работа с СКУД и т.д.)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в борьбе с терроризмом и экстремизмом (обеспечение технической защищенности охраняемых объектов от террористических угроз, действия при террористической угрозе)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в обеспечении режимов чрезвычайного положения, военного положения, правового режима контртеррористической операции (проверка документов, осуществление личного досмотра и досмотра транспортных средств)</w:t>
            </w:r>
          </w:p>
        </w:tc>
      </w:tr>
      <w:tr>
        <w:trPr>
          <w:trHeight w:hRule="atLeast" w:val="434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Участие в территориальной обороне Российской Федерации (контроль передачи и применения оружия и боеприпасов добровольцами территориальной обороны, работа саперов)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государственный контроль (надзор) за соблюдением законодательства Российской Федерации в области оборота оружия и в области частной охранной и частной детективной деятельности, а также за (осуществление проверок хранения, ношения и использования гражданского оружия, составление протоколов, предписаний)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Охрана особо важных и режимных объектов, объектов, подлежащих обязательной охране войсками национальной гвардии (действия сотрудников ГЗ СПВО ОВО при получении сигнала тревоги с охраняемого объекта, по прибытии на охраняемый объект и обнаружении нарушения периметра)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Осуществлять предупреждение преступлений и иных правонарушений на основе использования технических средств (использование БПЛА)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Осуществлять свою профессиональную деятельность во взаимодействии с сотрудниками органов местного самоуправления, с представителями общественных объединений, с муниципальными органами охраны общественного порядка, трудовыми коллективами, гражданами (действия сотрудников ОВО на охраняемых объектах при террористической угрозе, захватах заложников, обнаружении подозрительных предметов, ВУ)</w:t>
            </w:r>
          </w:p>
        </w:tc>
      </w:tr>
      <w:t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8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4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Осуществлять организационно-управленческие функции в рамках малых групп, как в условиях повседневной служебной деятельности, так и в нестандартных условиях, экстремальных ситуациях (распределение ролей и функционирование в составе ГЗ СПВО ОВО)</w:t>
            </w:r>
          </w:p>
        </w:tc>
      </w:tr>
    </w:tbl>
    <w:p w14:paraId="63000000">
      <w:pPr>
        <w:rPr>
          <w:rFonts w:ascii="Times New Roman" w:hAnsi="Times New Roman"/>
          <w:sz w:val="28"/>
        </w:rPr>
      </w:pPr>
    </w:p>
    <w:sectPr>
      <w:footerReference r:id="rId1" w:type="default"/>
      <w:pgSz w:h="16838" w:orient="portrait" w:w="11906"/>
      <w:pgMar w:bottom="1134" w:footer="567" w:gutter="0" w:header="0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8_ch"/>
    <w:link w:val="Style_1"/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4" w:type="paragraph">
    <w:name w:val="Standard"/>
    <w:link w:val="Style_4_ch"/>
    <w:pPr>
      <w:widowControl w:val="0"/>
      <w:spacing w:after="0" w:line="240" w:lineRule="auto"/>
      <w:ind/>
    </w:pPr>
    <w:rPr>
      <w:rFonts w:ascii="Liberation Serif" w:hAnsi="Liberation Serif"/>
      <w:color w:val="000000"/>
      <w:sz w:val="24"/>
    </w:rPr>
  </w:style>
  <w:style w:styleId="Style_4_ch" w:type="character">
    <w:name w:val="Standard"/>
    <w:link w:val="Style_4"/>
    <w:rPr>
      <w:rFonts w:ascii="Liberation Serif" w:hAnsi="Liberation Serif"/>
      <w:color w:val="000000"/>
      <w:sz w:val="24"/>
    </w:rPr>
  </w:style>
  <w:style w:styleId="Style_14" w:type="paragraph">
    <w:name w:val="toc 3"/>
    <w:next w:val="Style_8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8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3" w:type="paragraph">
    <w:name w:val="Body Text"/>
    <w:basedOn w:val="Style_8"/>
    <w:link w:val="Style_3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3_ch" w:type="character">
    <w:name w:val="Body Text"/>
    <w:basedOn w:val="Style_8_ch"/>
    <w:link w:val="Style_3"/>
    <w:rPr>
      <w:rFonts w:ascii="Times New Roman" w:hAnsi="Times New Roman"/>
      <w:sz w:val="28"/>
    </w:rPr>
  </w:style>
  <w:style w:styleId="Style_16" w:type="paragraph">
    <w:name w:val="heading 1"/>
    <w:next w:val="Style_8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8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"/>
    <w:basedOn w:val="Style_8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header"/>
    <w:basedOn w:val="Style_8_ch"/>
    <w:link w:val="Style_20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8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8"/>
    <w:next w:val="Style_8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6" w:type="paragraph">
    <w:name w:val="No Spacing"/>
    <w:link w:val="Style_6_ch"/>
    <w:pPr>
      <w:spacing w:after="0" w:line="240" w:lineRule="auto"/>
      <w:ind/>
    </w:pPr>
  </w:style>
  <w:style w:styleId="Style_6_ch" w:type="character">
    <w:name w:val="No Spacing"/>
    <w:link w:val="Style_6"/>
  </w:style>
  <w:style w:styleId="Style_25" w:type="paragraph">
    <w:name w:val="toc 5"/>
    <w:next w:val="Style_8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5" w:type="paragraph">
    <w:name w:val="List Paragraph"/>
    <w:basedOn w:val="Style_8"/>
    <w:link w:val="Style_5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5_ch" w:type="character">
    <w:name w:val="List Paragraph"/>
    <w:basedOn w:val="Style_8_ch"/>
    <w:link w:val="Style_5"/>
    <w:rPr>
      <w:rFonts w:ascii="Calibri" w:hAnsi="Calibri"/>
    </w:rPr>
  </w:style>
  <w:style w:styleId="Style_26" w:type="paragraph">
    <w:name w:val="Subtitle"/>
    <w:next w:val="Style_8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8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8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8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2" w:type="table">
    <w:name w:val="Table Grid"/>
    <w:basedOn w:val="Style_7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2025-12-11T02:20:30Z</dcterms:modified>
</cp:coreProperties>
</file>